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7E" w:rsidRDefault="002530D6" w:rsidP="00580F2B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  <w:r>
        <w:rPr>
          <w:rFonts w:ascii="Times New Roman" w:eastAsia="Times New Roman" w:hAnsi="Times New Roman" w:cs="Tahoma"/>
          <w:bCs/>
          <w:color w:val="244066"/>
          <w:lang w:eastAsia="ru-RU"/>
        </w:rPr>
        <w:t xml:space="preserve">                                                                                                                   </w:t>
      </w: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</w:pPr>
      <w:r>
        <w:rPr>
          <w:rFonts w:ascii="Times New Roman" w:eastAsia="Times New Roman" w:hAnsi="Times New Roman" w:cs="Tahoma"/>
          <w:b/>
          <w:bCs/>
          <w:color w:val="244066"/>
          <w:sz w:val="28"/>
          <w:szCs w:val="28"/>
          <w:lang w:eastAsia="ru-RU"/>
        </w:rPr>
        <w:t xml:space="preserve">Отчет о выполнении плана мероприятий по противодействию коррупции за 2017г.                </w:t>
      </w:r>
    </w:p>
    <w:p w:rsidR="00E11E7E" w:rsidRDefault="00E11E7E" w:rsidP="00E11E7E">
      <w:pPr>
        <w:pStyle w:val="Standard"/>
        <w:spacing w:before="28" w:after="28"/>
        <w:jc w:val="center"/>
      </w:pPr>
      <w:r>
        <w:rPr>
          <w:rFonts w:ascii="Times New Roman" w:eastAsia="Times New Roman" w:hAnsi="Times New Roman" w:cs="Tahoma"/>
          <w:b/>
          <w:bCs/>
          <w:color w:val="244066"/>
          <w:sz w:val="28"/>
          <w:szCs w:val="28"/>
          <w:lang w:eastAsia="ru-RU"/>
        </w:rPr>
        <w:t xml:space="preserve">        Ковалевского сельского поселения                                </w:t>
      </w:r>
    </w:p>
    <w:p w:rsidR="00E11E7E" w:rsidRDefault="00E11E7E" w:rsidP="00E11E7E">
      <w:pPr>
        <w:pStyle w:val="Standard"/>
        <w:spacing w:before="28" w:after="28"/>
        <w:rPr>
          <w:rFonts w:ascii="Times New Roman" w:hAnsi="Times New Roman"/>
        </w:rPr>
      </w:pPr>
    </w:p>
    <w:tbl>
      <w:tblPr>
        <w:tblW w:w="109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5805"/>
        <w:gridCol w:w="2436"/>
        <w:gridCol w:w="2378"/>
      </w:tblGrid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/П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Мероприятия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Срок исполнения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Отчет о  выполнении</w:t>
            </w:r>
          </w:p>
        </w:tc>
      </w:tr>
      <w:tr w:rsidR="00E11E7E" w:rsidTr="00E11E7E">
        <w:trPr>
          <w:jc w:val="center"/>
        </w:trPr>
        <w:tc>
          <w:tcPr>
            <w:tcW w:w="1099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b/>
                <w:color w:val="244066"/>
                <w:lang w:eastAsia="ru-RU"/>
              </w:rPr>
              <w:t>1.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ahoma"/>
                <w:b/>
                <w:bCs/>
                <w:color w:val="244066"/>
                <w:lang w:eastAsia="ru-RU"/>
              </w:rPr>
              <w:t>Организационные  мероприятия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1.1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Организация деятельности Комиссии</w:t>
            </w:r>
          </w:p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по противодействию коррупции,  соблюдение требований к служебному поведению и урегулирования конфликтов интересов в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администрации Ковалевского сельского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поселения ( дале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Комиссия)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постоянно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C38EB">
            <w:pPr>
              <w:pStyle w:val="Standard"/>
              <w:spacing w:before="28" w:after="28"/>
              <w:jc w:val="center"/>
            </w:pP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Согласно </w:t>
            </w:r>
            <w:r w:rsidR="00527A71">
              <w:rPr>
                <w:rFonts w:ascii="Times New Roman" w:eastAsia="Times New Roman" w:hAnsi="Times New Roman" w:cs="Tahoma"/>
                <w:color w:val="244066"/>
                <w:lang w:eastAsia="ru-RU"/>
              </w:rPr>
              <w:t>Постановления</w:t>
            </w:r>
            <w:proofErr w:type="gramEnd"/>
            <w:r w:rsidR="00527A71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 №140 от 30.12.20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15г. в Администрации Ковалевского сельского поселения создана </w:t>
            </w:r>
            <w:r w:rsidR="00BE7CA1">
              <w:rPr>
                <w:rFonts w:ascii="Times New Roman" w:eastAsia="Times New Roman" w:hAnsi="Times New Roman" w:cs="Tahoma"/>
                <w:color w:val="244066"/>
                <w:lang w:eastAsia="ru-RU"/>
              </w:rPr>
              <w:t>К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омиссия по противодействию коррупции,  утверждено Положение о Комиссии</w:t>
            </w:r>
            <w:r w:rsidR="00ED46EA">
              <w:rPr>
                <w:rFonts w:ascii="Times New Roman" w:eastAsia="Times New Roman" w:hAnsi="Times New Roman" w:cs="Tahoma"/>
                <w:color w:val="244066"/>
                <w:lang w:eastAsia="ru-RU"/>
              </w:rPr>
              <w:t>.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1.2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Проведение заседаний Комиссии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color w:val="244066"/>
              </w:rPr>
              <w:t>Один раз в квартал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8EB" w:rsidRDefault="00EC38EB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Заседания Комиссии</w:t>
            </w:r>
          </w:p>
          <w:p w:rsidR="00BE7CA1" w:rsidRDefault="00EC38EB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Проводятся своевременно за </w:t>
            </w:r>
            <w:r w:rsidR="00BB4745">
              <w:rPr>
                <w:rFonts w:ascii="Times New Roman" w:eastAsia="Times New Roman" w:hAnsi="Times New Roman" w:cs="Tahoma"/>
                <w:color w:val="244066"/>
                <w:lang w:eastAsia="ru-RU"/>
              </w:rPr>
              <w:t>2017г. было проведено 4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заседания  03.04.2017г. – с повесткой – «Об итогах работы Комиссии</w:t>
            </w:r>
            <w:r w:rsidR="00BE7CA1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за 2016г.»</w:t>
            </w:r>
          </w:p>
          <w:p w:rsidR="00BE7CA1" w:rsidRDefault="00BE7CA1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03.07.2017г. – с повесткой «О соблюдении муниципальными служащими Администрации Ковалевского сельского поселения ограничений и запретов, предусмотренных законодательством».</w:t>
            </w:r>
          </w:p>
          <w:p w:rsidR="00E11E7E" w:rsidRDefault="00BE7CA1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02.10.2017г. - </w:t>
            </w:r>
            <w:r w:rsidR="00EC38EB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 повесткой – «</w:t>
            </w:r>
            <w:proofErr w:type="spell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Омониторинге</w:t>
            </w:r>
            <w:proofErr w:type="spell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публикаций в СМИ информации о коррупционных проявлениях»,</w:t>
            </w:r>
            <w:r w:rsidR="00EC38EB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</w:t>
            </w:r>
          </w:p>
          <w:p w:rsidR="00BB4745" w:rsidRDefault="00BB4745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28.12.2017г.- с повесткой – «Об 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lastRenderedPageBreak/>
              <w:t>итогах деятельности комиссии по противодействию коррупции за 2017г.»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lastRenderedPageBreak/>
              <w:t>1.3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Создание специального раздела «Противодействие коррупции» на официальном сайте администрации  Ковалевского сельского поселения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15.01 2016г.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E4" w:rsidRDefault="00BE7CA1" w:rsidP="00FA3CFC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На официальном сайте Ковалевского сельского поселения</w:t>
            </w:r>
          </w:p>
          <w:p w:rsidR="00617FE4" w:rsidRPr="00617FE4" w:rsidRDefault="00580F2B" w:rsidP="00FA3CFC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5" w:tgtFrame="_blank" w:history="1">
              <w:r w:rsidR="00617FE4" w:rsidRPr="00617FE4">
                <w:rPr>
                  <w:rFonts w:ascii="Arial" w:eastAsia="Times New Roman" w:hAnsi="Arial" w:cs="Arial"/>
                  <w:b/>
                  <w:bCs/>
                  <w:sz w:val="21"/>
                </w:rPr>
                <w:t>kovalevskoe-sp.ru</w:t>
              </w:r>
            </w:hyperlink>
          </w:p>
          <w:p w:rsidR="00E11E7E" w:rsidRDefault="00BE7CA1" w:rsidP="00FA3CFC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создан раздел</w:t>
            </w:r>
            <w:r w:rsidR="00617FE4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«Противодействие коррупции».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1.4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Составление отчёта выполнения плана мероприятий по противодействию коррупции за 9 мес.2017г. в администрации Ковалевского  сельского поселения.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Один раз в квартал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617FE4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Отчет о выполнении плана мероприятий по противодействию коррупции направляется ежеквартально до 20 числа месяца следующего з</w:t>
            </w:r>
            <w:r w:rsidR="00D85E63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а </w:t>
            </w:r>
            <w:proofErr w:type="gramStart"/>
            <w:r w:rsidR="00D85E63">
              <w:rPr>
                <w:rFonts w:ascii="Times New Roman" w:eastAsia="Times New Roman" w:hAnsi="Times New Roman" w:cs="Tahoma"/>
                <w:color w:val="244066"/>
                <w:lang w:eastAsia="ru-RU"/>
              </w:rPr>
              <w:t>отчетным</w:t>
            </w:r>
            <w:proofErr w:type="gramEnd"/>
            <w:r w:rsidR="00D85E63">
              <w:rPr>
                <w:rFonts w:ascii="Times New Roman" w:eastAsia="Times New Roman" w:hAnsi="Times New Roman" w:cs="Tahoma"/>
                <w:color w:val="244066"/>
                <w:lang w:eastAsia="ru-RU"/>
              </w:rPr>
              <w:t>.</w:t>
            </w:r>
          </w:p>
        </w:tc>
      </w:tr>
      <w:tr w:rsidR="00E11E7E" w:rsidTr="00E11E7E">
        <w:trPr>
          <w:jc w:val="center"/>
        </w:trPr>
        <w:tc>
          <w:tcPr>
            <w:tcW w:w="1099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b/>
                <w:bCs/>
                <w:color w:val="244066"/>
                <w:lang w:eastAsia="ru-RU"/>
              </w:rPr>
              <w:t xml:space="preserve"> 2. Профилактика коррупционных и иных правонарушений при прохождении муниципальной службы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2.1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Организация проведения проверок по жалобам граждан на незаконные действия муниципальных служащих администрации Ковалевского сельского поселения с целью выявления и устранения фактов проявления коррупции.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постоянно 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D85E63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За 2017г. </w:t>
            </w:r>
          </w:p>
          <w:p w:rsidR="00E11E7E" w:rsidRDefault="00D85E63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Жалоб граждан на незаконные действия муниципальных служащих администрации Ковалевского сельского поселения – не поступало</w:t>
            </w:r>
            <w:r w:rsidR="0096766D">
              <w:rPr>
                <w:rFonts w:ascii="Times New Roman" w:eastAsia="Times New Roman" w:hAnsi="Times New Roman" w:cs="Tahoma"/>
                <w:color w:val="244066"/>
                <w:lang w:eastAsia="ru-RU"/>
              </w:rPr>
              <w:t>, проверок не было.</w:t>
            </w:r>
          </w:p>
          <w:p w:rsidR="0096766D" w:rsidRDefault="0096766D">
            <w:pPr>
              <w:pStyle w:val="Standard"/>
              <w:spacing w:before="28" w:after="28"/>
              <w:jc w:val="center"/>
            </w:pP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2.2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Организация представления сведений о доходах, расходах об имуществе, и обязательствах имущественного характера лиц, замещающих муниципальные  должности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должности муниципальной службы в администрации Ковалевского сельского поселения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Ежегодно до 30 апреля текущего года.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Pr="007B27F9" w:rsidRDefault="007B27F9">
            <w:pPr>
              <w:pStyle w:val="Standard"/>
              <w:spacing w:before="28" w:after="28"/>
              <w:jc w:val="center"/>
              <w:rPr>
                <w:rFonts w:ascii="Times New Roman" w:hAnsi="Times New Roman" w:cs="Times New Roman"/>
              </w:rPr>
            </w:pPr>
            <w:r w:rsidRPr="00580F2B">
              <w:rPr>
                <w:rFonts w:ascii="Times New Roman" w:hAnsi="Times New Roman" w:cs="Times New Roman"/>
                <w:color w:val="1F497D" w:themeColor="text2"/>
              </w:rPr>
              <w:t xml:space="preserve">На заседаниях </w:t>
            </w:r>
            <w:proofErr w:type="spellStart"/>
            <w:r w:rsidRPr="00580F2B">
              <w:rPr>
                <w:rFonts w:ascii="Times New Roman" w:hAnsi="Times New Roman" w:cs="Times New Roman"/>
                <w:color w:val="1F497D" w:themeColor="text2"/>
              </w:rPr>
              <w:t>Комисси</w:t>
            </w:r>
            <w:proofErr w:type="spellEnd"/>
            <w:r w:rsidRPr="00580F2B">
              <w:rPr>
                <w:rFonts w:ascii="Times New Roman" w:hAnsi="Times New Roman" w:cs="Times New Roman"/>
                <w:color w:val="1F497D" w:themeColor="text2"/>
              </w:rPr>
              <w:t xml:space="preserve">, муниципальным служащим доводилась информация о соблюдении законодательства, о своевременном и достоверном предоставлении </w:t>
            </w:r>
            <w:r w:rsidRPr="00580F2B">
              <w:rPr>
                <w:rFonts w:ascii="Times New Roman" w:eastAsia="Times New Roman" w:hAnsi="Times New Roman" w:cs="Tahoma"/>
                <w:color w:val="1F497D" w:themeColor="text2"/>
                <w:lang w:eastAsia="ru-RU"/>
              </w:rPr>
              <w:t>сведений о доходах, расходах об имуществе, и обязательствах имущественного характера лиц, замещающих муниципальные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 </w:t>
            </w:r>
            <w:r w:rsidRPr="00580F2B">
              <w:rPr>
                <w:rFonts w:ascii="Times New Roman" w:eastAsia="Times New Roman" w:hAnsi="Times New Roman" w:cs="Tahoma"/>
                <w:color w:val="1F497D" w:themeColor="text2"/>
                <w:lang w:eastAsia="ru-RU"/>
              </w:rPr>
              <w:lastRenderedPageBreak/>
              <w:t>должности</w:t>
            </w:r>
            <w:proofErr w:type="gramStart"/>
            <w:r w:rsidRPr="00580F2B">
              <w:rPr>
                <w:rFonts w:ascii="Times New Roman" w:eastAsia="Times New Roman" w:hAnsi="Times New Roman" w:cs="Tahoma"/>
                <w:color w:val="1F497D" w:themeColor="text2"/>
                <w:lang w:eastAsia="ru-RU"/>
              </w:rPr>
              <w:t xml:space="preserve"> ,</w:t>
            </w:r>
            <w:proofErr w:type="gramEnd"/>
            <w:r w:rsidRPr="00580F2B">
              <w:rPr>
                <w:rFonts w:ascii="Times New Roman" w:eastAsia="Times New Roman" w:hAnsi="Times New Roman" w:cs="Tahoma"/>
                <w:color w:val="1F497D" w:themeColor="text2"/>
                <w:lang w:eastAsia="ru-RU"/>
              </w:rPr>
              <w:t xml:space="preserve"> должности муниципальной </w:t>
            </w:r>
            <w:bookmarkStart w:id="0" w:name="_GoBack"/>
            <w:bookmarkEnd w:id="0"/>
            <w:r w:rsidRPr="00580F2B">
              <w:rPr>
                <w:rFonts w:ascii="Times New Roman" w:eastAsia="Times New Roman" w:hAnsi="Times New Roman" w:cs="Tahoma"/>
                <w:color w:val="1F497D" w:themeColor="text2"/>
                <w:lang w:eastAsia="ru-RU"/>
              </w:rPr>
              <w:t>службы в администрации Ковалевского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Обеспечение поэтапного заполнение справок, о доходах, расходах об имуществе, и обязательствах имущественного характера.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Ежегодно до 30 апреля текущего года.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F6397E" w:rsidP="00FA3CFC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Справки</w:t>
            </w:r>
            <w:r w:rsidR="00D45E10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 доходах, расходах об имуществе, и обязательствах имущественного характера  были заполнены своевременно.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Организация проверок достоверности и  полноты сведений, о доходах, расходах об имуществе, и обязательствах имущественного характера лиц, замещающих муниципальные  должности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должности муниципальной службы, а так же за расходами их супруги (супруга) и несовершеннолетних детей .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Ежегодно до 30 апреля текущего года.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F639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Согласно Постановления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№14 от 25.03.2011г. «О проверке достоверности и полноты сведений о доходах, об имуществе и обязательствах имущественного характера» сотрудником, ответственным за кадровую работу в Администрации осуществлялся контроль за предоставлением достоверных и полных сведений.</w:t>
            </w:r>
          </w:p>
          <w:p w:rsidR="00F6397E" w:rsidRDefault="00F639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Сведения были предоставлены своевременно.</w:t>
            </w:r>
          </w:p>
          <w:p w:rsidR="0074523E" w:rsidRDefault="0074523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Справки сданы своевременно в полном объеме в количестве семи штук.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2.4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Организация  размещения  сведений о доходах, расходах об имуществе, и обязательствах имущественного характера  на официальном сайте  администрации Ковалевского сельского поселения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14 дней со дня истечения срока , установленного для подачи сведений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42433B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Согласно Постановления №9 от 17.12.2014г.  «Об утверждении Порядка размещения сведений о доходах, расходах об имуществе, и обязательствах имущественного характера  на 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lastRenderedPageBreak/>
              <w:t xml:space="preserve">официальном сайте  администрации Ковалевского сельского поселения» сведения в полном объеме размещены на официальном сайте Ковалевского сельского поселения, 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вкладке «Сведения о доходах».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lastRenderedPageBreak/>
              <w:t>2.5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Ковалевского сельского поселения.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По факту необходимости урегулирования ситуации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42433B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Согласно Решения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№119 от 25.03.2016г. «Об утверждении Положения об основаниях и порядке сообщения лицам, заме</w:t>
            </w:r>
            <w:r w:rsidR="00D45E10">
              <w:rPr>
                <w:rFonts w:ascii="Times New Roman" w:eastAsia="Times New Roman" w:hAnsi="Times New Roman" w:cs="Tahoma"/>
                <w:color w:val="244066"/>
                <w:lang w:eastAsia="ru-RU"/>
              </w:rPr>
              <w:t>щающим муниципальные должности,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интересов».</w:t>
            </w:r>
          </w:p>
          <w:p w:rsidR="0042433B" w:rsidRDefault="0042433B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Муниципальными служащими Ковалевского с.п. </w:t>
            </w:r>
            <w:r w:rsidR="00BE1690">
              <w:rPr>
                <w:rFonts w:ascii="Times New Roman" w:eastAsia="Times New Roman" w:hAnsi="Times New Roman" w:cs="Tahoma"/>
                <w:color w:val="244066"/>
                <w:lang w:eastAsia="ru-RU"/>
              </w:rPr>
              <w:t>соблюдаются все требования.</w:t>
            </w:r>
          </w:p>
          <w:p w:rsidR="00BE1690" w:rsidRDefault="00BE1690" w:rsidP="00DC1190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За 2017г. конфликта интересов не было.</w:t>
            </w:r>
          </w:p>
        </w:tc>
      </w:tr>
      <w:tr w:rsidR="00E11E7E" w:rsidTr="00E11E7E">
        <w:trPr>
          <w:jc w:val="center"/>
        </w:trPr>
        <w:tc>
          <w:tcPr>
            <w:tcW w:w="1099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b/>
                <w:bCs/>
                <w:color w:val="244066"/>
                <w:lang w:eastAsia="ru-RU"/>
              </w:rPr>
              <w:t>3.    Антикоррупционная экспертиза нормативных правовых актов и их проектов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3.1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Проведение антикоррупционной экспертизы:</w:t>
            </w:r>
          </w:p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- проектов муниципальных нормативно правовых актов;</w:t>
            </w:r>
          </w:p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- принятых муниципальных правовых актов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Постоянно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4331F1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Согласно Распоряжения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№1 от 11.01.2011г.  «Об утверждении порядка проведения антикоррупционной экспертизы НПА»</w:t>
            </w:r>
          </w:p>
          <w:p w:rsidR="004331F1" w:rsidRDefault="004331F1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Все проекты  НПА Ковалевского сельского поселения  направляются в Прокуратуру.</w:t>
            </w:r>
          </w:p>
          <w:p w:rsidR="004331F1" w:rsidRDefault="004331F1" w:rsidP="00527A71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За 2017г. было направлено </w:t>
            </w:r>
            <w:r w:rsidR="00527A71">
              <w:rPr>
                <w:rFonts w:ascii="Times New Roman" w:eastAsia="Times New Roman" w:hAnsi="Times New Roman" w:cs="Tahoma"/>
                <w:color w:val="24406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НПА.</w:t>
            </w:r>
          </w:p>
        </w:tc>
      </w:tr>
      <w:tr w:rsidR="00E11E7E" w:rsidTr="00E11E7E">
        <w:trPr>
          <w:jc w:val="center"/>
        </w:trPr>
        <w:tc>
          <w:tcPr>
            <w:tcW w:w="1099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b/>
                <w:bCs/>
                <w:color w:val="244066"/>
                <w:lang w:eastAsia="ru-RU"/>
              </w:rPr>
              <w:t>4.     Антикоррупционный мониторинг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Предоставление в сектор  по профилактике коррупции и иных правонарушений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информации для проведения антикоррупционного мониторинга 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Один раз в квартал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 w:rsidP="00AA7DB4">
            <w:pPr>
              <w:pStyle w:val="Standard"/>
              <w:spacing w:before="28" w:after="28"/>
              <w:jc w:val="center"/>
              <w:rPr>
                <w:rFonts w:ascii="Times New Roman" w:eastAsia="Times New Roman" w:hAnsi="Times New Roman" w:cs="Tahoma"/>
                <w:color w:val="244066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Предоставл</w:t>
            </w:r>
            <w:r w:rsidR="0048079C"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яется по необходимости, за </w:t>
            </w:r>
            <w:r w:rsidR="00AA7DB4">
              <w:rPr>
                <w:rFonts w:ascii="Times New Roman" w:eastAsia="Times New Roman" w:hAnsi="Times New Roman" w:cs="Tahoma"/>
                <w:color w:val="244066"/>
                <w:lang w:eastAsia="ru-RU"/>
              </w:rPr>
              <w:t>2017г. не на</w:t>
            </w:r>
            <w:r w:rsidR="0048079C">
              <w:rPr>
                <w:rFonts w:ascii="Times New Roman" w:eastAsia="Times New Roman" w:hAnsi="Times New Roman" w:cs="Tahoma"/>
                <w:color w:val="244066"/>
                <w:lang w:eastAsia="ru-RU"/>
              </w:rPr>
              <w:t>правлялось.</w:t>
            </w:r>
          </w:p>
        </w:tc>
      </w:tr>
      <w:tr w:rsidR="00E11E7E" w:rsidTr="00E11E7E">
        <w:trPr>
          <w:jc w:val="center"/>
        </w:trPr>
        <w:tc>
          <w:tcPr>
            <w:tcW w:w="1099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b/>
                <w:bCs/>
                <w:color w:val="244066"/>
                <w:lang w:eastAsia="ru-RU"/>
              </w:rPr>
              <w:t>5.Антикоррупционные образование, просвещение и пропаганда</w:t>
            </w:r>
          </w:p>
        </w:tc>
      </w:tr>
      <w:tr w:rsidR="00E11E7E" w:rsidTr="00CA2942">
        <w:trPr>
          <w:jc w:val="center"/>
        </w:trPr>
        <w:tc>
          <w:tcPr>
            <w:tcW w:w="3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5.1</w:t>
            </w:r>
          </w:p>
        </w:tc>
        <w:tc>
          <w:tcPr>
            <w:tcW w:w="58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Размещение в зданиях и помещениях  органов местного самоуправления информационных стендов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направленных на профилактику коррупционных и иных правонарушений со стороны граждан и муниципальных служащих </w:t>
            </w:r>
          </w:p>
        </w:tc>
        <w:tc>
          <w:tcPr>
            <w:tcW w:w="2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E11E7E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 xml:space="preserve"> всего года</w:t>
            </w:r>
          </w:p>
        </w:tc>
        <w:tc>
          <w:tcPr>
            <w:tcW w:w="23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E7E" w:rsidRDefault="0048079C">
            <w:pPr>
              <w:pStyle w:val="Standard"/>
              <w:spacing w:before="28" w:after="28"/>
              <w:jc w:val="center"/>
            </w:pPr>
            <w:r>
              <w:rPr>
                <w:rFonts w:ascii="Times New Roman" w:eastAsia="Times New Roman" w:hAnsi="Times New Roman" w:cs="Tahoma"/>
                <w:color w:val="244066"/>
                <w:lang w:eastAsia="ru-RU"/>
              </w:rPr>
              <w:t>В здании Администрации Ковалевского сельского поселения размещены антикоррупционные информационные  стенды с памятками и информацией на тему коррупции.</w:t>
            </w:r>
          </w:p>
        </w:tc>
      </w:tr>
    </w:tbl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  <w:r>
        <w:rPr>
          <w:rFonts w:ascii="Times New Roman" w:eastAsia="Times New Roman" w:hAnsi="Times New Roman" w:cs="Tahoma"/>
          <w:bCs/>
          <w:color w:val="244066"/>
          <w:lang w:eastAsia="ru-RU"/>
        </w:rPr>
        <w:t xml:space="preserve">                                                                         </w:t>
      </w: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E11E7E" w:rsidRDefault="00E11E7E" w:rsidP="00E11E7E">
      <w:pPr>
        <w:pStyle w:val="Standard"/>
        <w:spacing w:before="28" w:after="28"/>
        <w:jc w:val="center"/>
        <w:rPr>
          <w:rFonts w:ascii="Times New Roman" w:eastAsia="Times New Roman" w:hAnsi="Times New Roman" w:cs="Tahoma"/>
          <w:bCs/>
          <w:color w:val="244066"/>
          <w:lang w:eastAsia="ru-RU"/>
        </w:rPr>
      </w:pPr>
    </w:p>
    <w:p w:rsidR="0030649E" w:rsidRDefault="0030649E"/>
    <w:sectPr w:rsidR="0030649E" w:rsidSect="007D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E7E"/>
    <w:rsid w:val="002530D6"/>
    <w:rsid w:val="0030649E"/>
    <w:rsid w:val="0042433B"/>
    <w:rsid w:val="004331F1"/>
    <w:rsid w:val="0048079C"/>
    <w:rsid w:val="00527A71"/>
    <w:rsid w:val="00580F2B"/>
    <w:rsid w:val="00617FE4"/>
    <w:rsid w:val="0074523E"/>
    <w:rsid w:val="007B27F9"/>
    <w:rsid w:val="007D6799"/>
    <w:rsid w:val="0096766D"/>
    <w:rsid w:val="00AA7DB4"/>
    <w:rsid w:val="00BB4745"/>
    <w:rsid w:val="00BE1690"/>
    <w:rsid w:val="00BE7CA1"/>
    <w:rsid w:val="00CA2942"/>
    <w:rsid w:val="00D45E10"/>
    <w:rsid w:val="00D85E63"/>
    <w:rsid w:val="00DC1190"/>
    <w:rsid w:val="00E11E7E"/>
    <w:rsid w:val="00EC38EB"/>
    <w:rsid w:val="00ED46EA"/>
    <w:rsid w:val="00F33C51"/>
    <w:rsid w:val="00F6397E"/>
    <w:rsid w:val="00F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9"/>
  </w:style>
  <w:style w:type="paragraph" w:styleId="2">
    <w:name w:val="heading 2"/>
    <w:basedOn w:val="a"/>
    <w:link w:val="20"/>
    <w:uiPriority w:val="9"/>
    <w:qFormat/>
    <w:rsid w:val="00617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1E7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17F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17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80.BZjBwHQh8qWfUvulk4SIpu6DE6xF0oIZ3kMxVDAoXr8f1_4o058Q_zzAGeXADgNfYzaMHZXhjQMRfjTQDIO64i1TkYV4wJYwPKa1pqYeDyj7gLXU1bXomTRah-OOoK-E_Nf9-YvFPm5xST7xiQPA_EaS2BTlZFXw7Tvxmc53ApMQcO2W3XKRdGamuUChb90Z9F5gwKzWnXtZSpsEYNoifA.76f25975a46f1875fd5a521ead6c9c8840219f28&amp;uuid=&amp;state=PEtFfuTeVD4jaxywoSUvtB2i7c0_vxGdKJBUN48dhRaQEew_4vPgtaHQTbCUXI3yXF7gMIt8Es9RFLtOmtvshg,,&amp;&amp;cst=AiuY0DBWFJ5Hyx_fyvalFC3MW4pN8KeH8S3HAKdiE3qCZrv6Sn_EZqdRoJVRQcIb3LIlu4FK8lSaU-meKQR2m8Yedwl3saKZu1lrMTiL1RvN2CHnQgWOsOPbCU7Mq9087vty95843fuBCJNDSih9nUN-FKhFmtCgDF4OLgKE6F8xdMcMFiiPZ4nSZLXUO6o1x4LrhurI7WPz0V8mBdp1-l40A-URYqgKpfQEMUYFBAeVdWt8lYM4Fmjm5s8A3CREmwqZjSmLZ1ObdVL9qHc2DZNFG6k6BaIoInXt2FfBumARZ9KBIpaKlPeVzJ0Mb6xB9wEVT3VECpDweZshibd2u5wxsDPk7UFiWS1ibFQYNRkndF647fUyBojPF_OsLgkBHfD-i5PITMNGRfyAysgQcFKGtKzH9LWcjlpJLMUHB0JrykPGNLm1EGTcPnd8Oqj4L6kFZuXei33o8r7FdnwLkekyoM7r6k4FdDcFhtIfiUrDewYDfvvWThypWzRh5M0n3bXcZoHTBIUfdkrpbAuazMBrHYcphfR4KCe36nbB8STqYytdNFfl69q_KSW8XUNdR9UXwkFbrmNHb8luANBNDEDdCpIdcGUAzrt-YJm3kUeyInzTMiohVP14K4_CNVwAhK6TF7VfkobsyzNphcxhrAUHakK2jgh9t2wOpuDef8MjadGoaToRbzc9TlD46KZvCDmW9b0zawUlrBDWWCMfCA,,&amp;data=UlNrNmk5WktYejR0eWJFYk1Ldmtxc1ozTUxSQ3FVd014NENYR0haZlZYU3RRVlJ0VHNaT2J1X0tHeEJOVTFmdHJNRUJGcm5XOHJ1dV9Jd1REeHlBdVJIWS1WOHctMjNvRFVrbzVJTnZjaEks&amp;sign=03c084f7bfb5b4251d31443893b7e629&amp;keyno=0&amp;b64e=2&amp;ref=orjY4mGPRjk5boDnW0uvlrrd71vZw9kpfmwSlf_6ZUZeFU90YQVB_NB68l3vq1fLkKu01Ad59G6NM9RSKIAqdREGL6wAjGU012RC1SwXExP962TCmQW_wkEe1IUJi9ol3QAAeeUvqzOzhldSBjO8LCRVbDQLSuQiO7DWWyWdy4w16QnpAlvzXaeUghrdLOCeYBA0H85PTmkSUX1Ejo6wY5ERM58htFq6_vI9Foz1ngOKL7FyhzKxBaF4zgYE1UJ0hkshOgJaqN55olmLG3j_QLiZ0Qr6tVuUxQJVS1kxSPIP8g00kY4JMXYzsRUBcZCv1ttV_xf2EAo5ZIzsEXRaNYEn2_Awsq2APm0CZJL9Yru943ERPOgYuEM6qudP2Gulhc-8nqa9sV609h9Zbn9Z23V2SFtRChB8qdU1oHZ-iDw8DkShEWYxKumc4n_t3TBURs8IbZKUgvLBA_f5F9R4FHVRaLGHFWMDwMkGDd6APrdUlrv8HYWRb98IGsx1SNdqXADfmH1bjekkWHpb1aSLe97leGVF1D4OO5oUlaC_p8tNG10NK6OSn4tjopgk9A9WeqB949s8yaFkmJd6eOikwQ,,&amp;l10n=ru&amp;cts=1508489716308&amp;mc=4.6067557245856845&amp;bu=uniq15084482993192694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2017-10-20T07:55:00Z</dcterms:created>
  <dcterms:modified xsi:type="dcterms:W3CDTF">2018-04-09T10:58:00Z</dcterms:modified>
</cp:coreProperties>
</file>